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media/image1.jpeg" ContentType="image/jpeg"/>
  <Override PartName="/word/media/image2.png" ContentType="image/png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<?xml version="1.0" encoding="UTF-8"?>
<Relationships xmlns="http://schemas.openxmlformats.org/package/2006/relationships"><Relationship Id="rId1" Type="http://schemas.openxmlformats.org/officedocument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 xmlns:wp="http://schemas.openxmlformats.org/drawingml/2006/wordprocessingDrawing" xmlns:o="urn:schemas-microsoft-com:office:office" xmlns:v="urn:schemas-microsoft-com:vml" xmlns:w="http://schemas.openxmlformats.org/wordprocessingml/2006/main" xmlns:r="http://schemas.openxmlformats.org/officeDocument/2006/relationships" xmlns:mc="http://schemas.openxmlformats.org/markup-compatibility/2006" xmlns:w10="urn:schemas-microsoft-com:office:word" xmlns:wps="http://schemas.microsoft.com/office/word/2010/wordprocessingShape" xmlns:w14="http://schemas.microsoft.com/office/word/2010/wordml" xmlns:wp14="http://schemas.microsoft.com/office/word/2010/wordprocessingDrawing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leftMargin">
                  <wp:align>left</wp:align>
                </wp:positionH>
                <wp:positionV relativeFrom="page">
                  <wp:posOffset>0</wp:posOffset>
                </wp:positionV>
                <wp:extent cx="7765200" cy="219600"/>
                <wp:effectExtent l="0" t="0" r="0" b="9525"/>
                <wp:wrapNone/>
                <wp:docPr id="100010111" name="ODT_ATTR_LBL_SHAP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765200" cy="219600"/>
                        </a:xfrm>
                        <a:prstGeom prst="rect">
                          <a:avLst/>
                        </a:prstGeom>
                        <a:solidFill>
                          <a:srgbClr val="f2f2f2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>
                            <w:pPr>
                              <!--  bidi  -->
                              <w:spacing w:line="240" w:lineRule="auto"/>
                              <w:contextualSpacing/>
                              <w:jc w:val="left"/>
                            </w:pPr>
                            <w:r>
                              <w:rPr>
                                <w:noProof/>
                                <w:position w:val="-6"/>
                                <!-- rtl -->
                              </w:rPr>
                              <w:drawing>
                                <wp:inline distT="0" distB="0" distL="0" distR="0">
                                  <wp:extent cx="316230" cy="179705"/>
                                  <wp:effectExtent l="0" t="0" r="0" b="0"/>
                                  <wp:docPr id="100010001" name="LOGO"/>
                                  <wp:cNvGraphicFramePr/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00010001" name="LOGO"/>
                                          <pic:cNvPicPr/>
                                        </pic:nvPicPr>
                                        <pic:blipFill>
                                          <a:blip r:embed="r_odt_logo" cstate="print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316230" cy="179705"/>
                                          </a:xfrm>
                                          <a:prstGeom prst="rect">
                                            <a:avLst/>
                                          </a:prstGeom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Roboto" w:hAnsi="Roboto"/>
                                <w:color w:val="0F2B46"/>
                                <w:szCs w:val="18"/>
                              </w:rPr>
                              <w:t xml:space="preserve"> </w:t>
                            </w:r>
                            <w:hyperlink r:id="r_odt_hyperlink" w:history="1" w:tooltip="Doc Translator - www.onlinedoctranslator.com"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!-- rtl -->
                                </w:rPr>
                                <w:t xml:space="preserve">Translated from Chinese (Simplified) to English - </w:t>
                              </w:r>
                              <w:r>
                                <w:rPr>
                                  <w:rFonts w:ascii="Roboto" w:hAnsi="Roboto"/>
                                  <w:color w:val="0F2B46"/>
                                  <w:sz w:val="18"/>
                                  <w:szCs w:val="18"/>
                                  <w:u w:val="single"/>
                                </w:rPr>
                                <w:t>www.onlinedoctranslator.com</w:t>
                              </w:r>
                            </w:hyperlink>
                          </w:p>
                        </w:txbxContent>
                      </wps:txbx>
                      <wps:bodyPr rot="0" vert="horz" wrap="square" lIns="91440" tIns="0" rIns="91440" bIns="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ODT_ATTR_LBL_SHAPE" type="#_x0000_t202" style="position:absolute;left:0;text-align:left;margin-left:0;margin-top:0;width:611.45pt;height:17.3pt;z-index:251659264;visibility:visible;mso-wrap-style:square;mso-width-percent:1000;mso-height-percent:0;mso-wrap-distance-left:9pt;mso-wrap-distance-top:3.6pt;mso-wrap-distance-right:9pt;mso-wrap-distance-bottom:3.6pt;mso-position-horizontal:absolute;mso-position-horizontal-relative:page;mso-position-vertical:absolute;mso-position-vertical-relative:page;mso-width-percent:1000;mso-height-percent:0;mso-width-relative:page;mso-height-relative:margin;v-text-anchor:top" o:gfxdata="" fillcolor="#f2f2f2" stroked="f">
                <v:textbox inset=",0,,0">
                  <w:txbxContent>
                    <w:p>
                      <w:pPr>
                        <w:bidi/>
                        <w:spacing w:line="240" w:lineRule="auto"/>
                        <w:contextualSpacing/>
                        <w:jc w:val="left"/>
                      </w:pPr>
                      <w:r>
                        <w:rPr>
                          <w:noProof/>
                          <w:position w:val="-6"/>
                        </w:rPr>
                        <w:drawing>
                          <wp:inline distT="0" distB="0" distL="0" distR="0">
                            <wp:extent cx="316230" cy="179705"/>
                            <wp:effectExtent l="0" t="0" r="0" b="0"/>
                            <wp:docPr id="100010001" name="LOGO"/>
                            <wp:cNvGraphicFramePr/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00010001" name="LOGO"/>
                                    <pic:cNvPicPr/>
                                  </pic:nvPicPr>
                                  <pic:blipFill>
                                    <a:blip r:embed="r_odt_logo" cstate="print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316230" cy="179705"/>
                                    </a:xfrm>
                                    <a:prstGeom prst="rect">
                                      <a:avLst/>
                                    </a:prstGeom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Roboto" w:hAnsi="Roboto"/>
                          <w:color w:val="0F2B46"/>
                          <w:szCs w:val="18"/>
                        </w:rPr>
                        <w:t xml:space="preserve"> </w:t>
                      </w:r>
                      <w:hyperlink r:id="r_odt_hyperlink" w:history="1" w:tooltip="Doc Translator - www.onlinedoctranslator.com"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!-- rtl -->
                          </w:rPr>
                          <w:t xml:space="preserve">Translated from Chinese (Simplified) to English - </w:t>
                        </w:r>
                        <w:r>
                          <w:rPr>
                            <w:rFonts w:ascii="Roboto" w:hAnsi="Roboto"/>
                            <w:color w:val="0F2B46"/>
                            <w:sz w:val="18"/>
                            <w:szCs w:val="18"/>
                            <w:u w:val="single"/>
                          </w:rPr>
                          <w:t>www.onlinedoctranslator.com</w:t>
                        </w:r>
                      </w:hyperlink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>
      <w:pPr>
        <w:pStyle w:val="Normal"/>
        <w:rPr>
          <w:bCs/>
          <w:kern w:val="0"/>
          <w:szCs w:val="21"/>
        </w:rPr>
      </w:pPr>
      <w:r>
        <w:rPr>
          <w:bCs/>
          <w:kern w:val="0"/>
          <w:szCs w:val="21"/>
        </w:rPr>
      </w:r>
    </w:p>
    <w:p>
      <w:pPr>
        <w:pStyle w:val="Normal"/>
        <w:jc w:val="center"/>
        <w:rPr>
          <w:rFonts w:ascii="宋体" w:hAnsi="宋体" w:cs="宋体"/>
          <w:b/>
          <w:b/>
          <w:color w:val="3A2BFD"/>
          <w:kern w:val="0"/>
          <w:sz w:val="30"/>
          <w:szCs w:val="30"/>
        </w:rPr>
      </w:pPr>
      <w:r>
        <w:rPr>
          <w:b/>
          <w:kern w:val="0"/>
          <w:sz w:val="30"/>
          <w:szCs w:val="30"/>
          <w:lang w:val="en-US" w:eastAsia="zh-CN"/>
        </w:rPr>
        <w:t>180G</w:t>
      </w:r>
      <w:r>
        <w:rPr>
          <w:rFonts w:ascii="宋体" w:hAnsi="宋体" w:cs="宋体"/>
          <w:b/>
          <w:color w:val="1900D0"/>
          <w:kern w:val="0"/>
          <w:sz w:val="30"/>
          <w:szCs w:val="30"/>
        </w:rPr>
        <w:t>Specifications</w:t>
      </w:r>
    </w:p>
    <w:p>
      <w:pPr>
        <w:pStyle w:val="Normal"/>
        <w:jc w:val="center"/>
        <w:rPr>
          <w:rFonts w:ascii="宋体" w:hAnsi="宋体" w:cs="宋体"/>
          <w:b/>
          <w:b/>
          <w:color w:val="000000"/>
          <w:kern w:val="0"/>
          <w:sz w:val="30"/>
          <w:szCs w:val="30"/>
        </w:rPr>
      </w:pPr>
      <w:r>
        <w:rPr>
          <w:rFonts w:ascii="宋体" w:hAnsi="宋体" w:cs="宋体"/>
          <w:b/>
          <w:color w:val="000000"/>
          <w:kern w:val="0"/>
          <w:sz w:val="30"/>
          <w:szCs w:val="30"/>
        </w:rPr>
        <w:t>(</w:t>
      </w:r>
      <w:r>
        <w:rPr>
          <w:rFonts w:ascii="宋体" w:hAnsi="宋体" w:cs="宋体"/>
          <w:b/>
          <w:color w:val="1900D0"/>
          <w:kern w:val="0"/>
          <w:sz w:val="30"/>
          <w:szCs w:val="30"/>
        </w:rPr>
        <w:t>Material Name</w:t>
      </w:r>
      <w:r>
        <w:rPr>
          <w:rFonts w:ascii="宋体" w:hAnsi="宋体" w:cs="宋体"/>
          <w:b/>
          <w:color w:val="000000"/>
          <w:kern w:val="0"/>
          <w:sz w:val="30"/>
          <w:szCs w:val="30"/>
        </w:rPr>
        <w:t>180KG Single Door Magnetic Lock</w:t>
      </w:r>
    </w:p>
    <w:p>
      <w:pPr>
        <w:pStyle w:val="Normal"/>
        <w:jc w:val="center"/>
        <w:rPr>
          <w:rFonts w:ascii="宋体" w:hAnsi="宋体" w:cs="宋体"/>
          <w:b/>
          <w:b/>
          <w:color w:val="000000"/>
          <w:kern w:val="0"/>
          <w:sz w:val="30"/>
          <w:szCs w:val="30"/>
        </w:rPr>
      </w:pPr>
      <w:r>
        <w:rPr>
          <w:rFonts w:cs="宋体" w:ascii="宋体" w:hAnsi="宋体"/>
          <w:b/>
          <w:color w:val="000000"/>
          <w:kern w:val="0"/>
          <w:sz w:val="30"/>
          <w:szCs w:val="30"/>
        </w:rPr>
      </w:r>
    </w:p>
    <w:p>
      <w:pPr>
        <w:pStyle w:val="Normal"/>
        <w:jc w:val="center"/>
        <w:rPr>
          <w:rFonts w:ascii="宋体" w:hAnsi="宋体" w:cs="宋体"/>
          <w:b/>
          <w:b/>
          <w:color w:val="000000"/>
          <w:kern w:val="0"/>
          <w:sz w:val="30"/>
          <w:szCs w:val="30"/>
        </w:rPr>
      </w:pPr>
      <w:r>
        <w:rPr>
          <w:rFonts w:cs="宋体" w:ascii="宋体" w:hAnsi="宋体"/>
          <w:b/>
          <w:color w:val="000000"/>
          <w:kern w:val="0"/>
          <w:sz w:val="30"/>
          <w:szCs w:val="30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0000FF"/>
          <w:kern w:val="0"/>
          <w:szCs w:val="21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Brand and Manufacturer Information</w:t>
      </w:r>
    </w:p>
    <w:p>
      <w:pPr>
        <w:pStyle w:val="Normal"/>
        <w:widowControl/>
        <w:numPr>
          <w:ilvl w:val="1"/>
          <w:numId w:val="1"/>
        </w:numPr>
        <w:tabs>
          <w:tab w:val="clear" w:pos="420"/>
          <w:tab w:val="left" w:pos="840" w:leader="none"/>
        </w:tabs>
        <w:jc w:val="start"/>
        <w:rPr>
          <w:rFonts w:ascii="宋体" w:hAnsi="宋体" w:cs="宋体"/>
          <w:color w:val="0000FF"/>
          <w:kern w:val="0"/>
          <w:szCs w:val="21"/>
        </w:rPr>
      </w:pPr>
      <w:r>
        <w:rPr>
          <w:rFonts w:ascii="宋体" w:hAnsi="宋体" w:cs="宋体"/>
          <w:color w:val="0000FF"/>
          <w:kern w:val="0"/>
          <w:szCs w:val="21"/>
        </w:rPr>
        <w:t>Manufacturer: Zhongshan Ju'an Shield Electronic Lock Industry Co., Ltd.</w:t>
      </w:r>
    </w:p>
    <w:p>
      <w:pPr>
        <w:pStyle w:val="Normal"/>
        <w:widowControl/>
        <w:numPr>
          <w:ilvl w:val="1"/>
          <w:numId w:val="1"/>
        </w:numPr>
        <w:tabs>
          <w:tab w:val="clear" w:pos="420"/>
          <w:tab w:val="left" w:pos="840" w:leader="none"/>
        </w:tabs>
        <w:jc w:val="start"/>
        <w:rPr>
          <w:rFonts w:ascii="宋体" w:hAnsi="宋体" w:cs="宋体"/>
          <w:color w:val="0000FF"/>
          <w:kern w:val="0"/>
          <w:szCs w:val="21"/>
        </w:rPr>
      </w:pPr>
      <w:r>
        <w:rPr>
          <w:rFonts w:cs="宋体" w:ascii="宋体" w:hAnsi="宋体"/>
          <w:color w:val="0000FF"/>
          <w:kern w:val="0"/>
          <w:szCs w:val="21"/>
        </w:rPr>
        <w:t>Logo:</w:t>
      </w:r>
    </w:p>
    <w:p>
      <w:pPr>
        <w:pStyle w:val="Normal"/>
        <w:widowControl/>
        <w:ind w:start="420" w:hanging="0"/>
        <w:jc w:val="start"/>
        <w:rPr>
          <w:rFonts w:ascii="宋体" w:hAnsi="宋体" w:cs="宋体"/>
          <w:color w:val="0000FF"/>
          <w:kern w:val="0"/>
          <w:szCs w:val="21"/>
        </w:rPr>
      </w:pPr>
      <w:r>
        <w:rPr>
          <w:rFonts w:cs="宋体" w:ascii="宋体" w:hAnsi="宋体"/>
          <w:color w:val="0000FF"/>
          <w:kern w:val="0"/>
          <w:szCs w:val="21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Material model and version</w:t>
      </w:r>
    </w:p>
    <w:p>
      <w:pPr>
        <w:pStyle w:val="Normal"/>
        <w:widowControl/>
        <w:numPr>
          <w:ilvl w:val="0"/>
          <w:numId w:val="2"/>
        </w:numPr>
        <w:tabs>
          <w:tab w:val="clear" w:pos="420"/>
          <w:tab w:val="left" w:pos="840" w:leader="none"/>
        </w:tabs>
        <w:jc w:val="start"/>
        <w:outlineLvl w:val="2"/>
        <w:rPr>
          <w:rFonts w:ascii="宋体" w:hAnsi="宋体" w:cs="宋体"/>
          <w:color w:val="0000FF"/>
          <w:kern w:val="0"/>
          <w:szCs w:val="21"/>
        </w:rPr>
      </w:pPr>
      <w:r>
        <w:rPr>
          <w:rFonts w:ascii="宋体" w:hAnsi="宋体" w:cs="宋体"/>
          <w:color w:val="0000FF"/>
          <w:kern w:val="0"/>
          <w:szCs w:val="21"/>
        </w:rPr>
        <w:t>Model: 180G</w:t>
      </w:r>
    </w:p>
    <w:p>
      <w:pPr>
        <w:pStyle w:val="Normal"/>
        <w:widowControl/>
        <w:numPr>
          <w:ilvl w:val="0"/>
          <w:numId w:val="2"/>
        </w:numPr>
        <w:tabs>
          <w:tab w:val="clear" w:pos="420"/>
          <w:tab w:val="left" w:pos="840" w:leader="none"/>
        </w:tabs>
        <w:jc w:val="start"/>
        <w:outlineLvl w:val="2"/>
        <w:rPr>
          <w:rFonts w:ascii="宋体" w:hAnsi="宋体" w:cs="宋体"/>
          <w:color w:val="0000FF"/>
          <w:kern w:val="0"/>
          <w:szCs w:val="21"/>
        </w:rPr>
      </w:pPr>
      <w:r>
        <w:rPr>
          <w:rFonts w:ascii="宋体" w:hAnsi="宋体" w:cs="宋体"/>
          <w:color w:val="0000FF"/>
          <w:kern w:val="0"/>
          <w:szCs w:val="21"/>
        </w:rPr>
        <w:t>Version:</w:t>
      </w:r>
    </w:p>
    <w:p>
      <w:pPr>
        <w:pStyle w:val="Normal"/>
        <w:widowControl/>
        <w:numPr>
          <w:ilvl w:val="0"/>
          <w:numId w:val="0"/>
        </w:numPr>
        <w:jc w:val="start"/>
        <w:outlineLvl w:val="2"/>
        <w:rPr>
          <w:rFonts w:ascii="宋体" w:hAnsi="宋体" w:cs="宋体"/>
          <w:color w:val="0000FF"/>
          <w:kern w:val="0"/>
          <w:szCs w:val="21"/>
        </w:rPr>
      </w:pPr>
      <w:r>
        <w:rPr>
          <w:rFonts w:cs="宋体" w:ascii="宋体" w:hAnsi="宋体"/>
          <w:color w:val="0000FF"/>
          <w:kern w:val="0"/>
          <w:szCs w:val="21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Main functions and features</w:t>
      </w:r>
    </w:p>
    <w:p>
      <w:pPr>
        <w:pStyle w:val="Normal"/>
        <w:rPr>
          <w:rFonts w:ascii="新宋体" w:hAnsi="新宋体" w:eastAsia="新宋体" w:cs="新宋体"/>
          <w:sz w:val="22"/>
          <w:szCs w:val="22"/>
        </w:rPr>
      </w:pPr>
      <w:r>
        <w:rPr>
          <w:rFonts w:eastAsia="新宋体" w:cs="新宋体" w:ascii="新宋体" w:hAnsi="新宋体"/>
          <w:sz w:val="22"/>
          <w:szCs w:val="22"/>
        </w:rPr>
        <w:t xml:space="preserve">          This product is noiseless, wear-free, has no mechanical failures, strong suction, and a longer service life. The lock body is made of selected...</w:t>
      </w:r>
    </w:p>
    <w:p>
      <w:pPr>
        <w:pStyle w:val="Normal"/>
        <w:rPr>
          <w:rFonts w:ascii="新宋体" w:hAnsi="新宋体" w:eastAsia="新宋体" w:cs="新宋体"/>
          <w:sz w:val="22"/>
          <w:szCs w:val="22"/>
        </w:rPr>
      </w:pPr>
      <w:r>
        <w:rPr>
          <w:rFonts w:ascii="新宋体" w:hAnsi="新宋体" w:cs="新宋体" w:eastAsia="新宋体"/>
          <w:sz w:val="22"/>
          <w:szCs w:val="22"/>
        </w:rPr>
        <w:t>　　　Treated with specialized magnetizing materials and processes, it does not produce residual magnetism during prolonged operation and is not susceptible to magnetism after long-term use.</w:t>
      </w:r>
    </w:p>
    <w:p>
      <w:pPr>
        <w:pStyle w:val="Normal"/>
        <w:rPr>
          <w:rFonts w:ascii="新宋体" w:hAnsi="新宋体" w:eastAsia="新宋体" w:cs="新宋体"/>
          <w:sz w:val="22"/>
          <w:szCs w:val="22"/>
        </w:rPr>
      </w:pPr>
      <w:r>
        <w:rPr>
          <w:rFonts w:ascii="新宋体" w:hAnsi="新宋体" w:cs="新宋体" w:eastAsia="新宋体"/>
          <w:sz w:val="22"/>
          <w:szCs w:val="22"/>
        </w:rPr>
        <w:t>　　　The magnetization of the plate weakens the suction force. The aluminum material is anodized, while the lock body and suction plate are electroplated to improve adhesion.</w:t>
      </w:r>
    </w:p>
    <w:p>
      <w:pPr>
        <w:pStyle w:val="Normal"/>
        <w:rPr>
          <w:rFonts w:ascii="新宋体" w:hAnsi="新宋体" w:eastAsia="新宋体" w:cs="新宋体"/>
          <w:sz w:val="22"/>
          <w:szCs w:val="22"/>
        </w:rPr>
      </w:pPr>
      <w:r>
        <w:rPr>
          <w:rFonts w:ascii="新宋体" w:hAnsi="新宋体" w:cs="新宋体" w:eastAsia="新宋体"/>
          <w:sz w:val="22"/>
          <w:szCs w:val="22"/>
        </w:rPr>
        <w:t>　　　It is stronger and has better corrosion resistance.</w:t>
      </w:r>
    </w:p>
    <w:p>
      <w:pPr>
        <w:pStyle w:val="Normal"/>
        <w:rPr>
          <w:rFonts w:ascii="新宋体" w:hAnsi="新宋体" w:eastAsia="新宋体" w:cs="新宋体"/>
          <w:sz w:val="22"/>
          <w:szCs w:val="22"/>
        </w:rPr>
      </w:pPr>
      <w:r>
        <w:rPr>
          <w:rFonts w:eastAsia="新宋体" w:cs="新宋体" w:ascii="新宋体" w:hAnsi="新宋体"/>
          <w:sz w:val="22"/>
          <w:szCs w:val="22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Technical parameters</w:t>
      </w:r>
    </w:p>
    <w:p>
      <w:pPr>
        <w:pStyle w:val="Normal"/>
        <w:rPr>
          <w:rFonts w:ascii="宋体" w:hAnsi="宋体" w:eastAsia="宋体" w:cs="宋体"/>
          <w:color w:val="0000FF"/>
          <w:sz w:val="22"/>
          <w:szCs w:val="22"/>
          <w:shd w:fill="FFFFFF" w:val="clear"/>
          <w:lang w:val="en-US" w:eastAsia="zh-CN"/>
        </w:rPr>
      </w:pPr>
      <w:r>
        <w:rPr>
          <w:rFonts w:ascii="宋体" w:hAnsi="宋体" w:cs="宋体"/>
          <w:color w:val="0000FF"/>
          <w:sz w:val="22"/>
          <w:szCs w:val="22"/>
          <w:shd w:fill="FFFFFF" w:val="clear"/>
        </w:rPr>
        <w:t xml:space="preserve">　    Model: 180G</w:t>
      </w:r>
    </w:p>
    <w:p>
      <w:pPr>
        <w:pStyle w:val="Normal"/>
        <w:rPr>
          <w:rFonts w:ascii="宋体" w:hAnsi="宋体" w:cs="宋体"/>
          <w:sz w:val="22"/>
          <w:szCs w:val="22"/>
          <w:shd w:fill="FFFFFF" w:val="clear"/>
        </w:rPr>
      </w:pPr>
      <w:r>
        <w:rPr>
          <w:rFonts w:ascii="宋体" w:hAnsi="宋体" w:cs="宋体"/>
          <w:sz w:val="22"/>
          <w:szCs w:val="22"/>
        </w:rPr>
        <w:t xml:space="preserve">　    Lock body dimensions: 168×40×21.5(mm)</w:t>
      </w:r>
    </w:p>
    <w:p>
      <w:pPr>
        <w:pStyle w:val="Normal"/>
        <w:rPr>
          <w:rFonts w:ascii="宋体" w:hAnsi="宋体" w:cs="宋体"/>
          <w:sz w:val="22"/>
          <w:szCs w:val="22"/>
          <w:shd w:fill="FFFFFF" w:val="clear"/>
        </w:rPr>
      </w:pPr>
      <w:r>
        <w:rPr>
          <w:rFonts w:ascii="宋体" w:hAnsi="宋体" w:cs="宋体"/>
          <w:sz w:val="22"/>
          <w:szCs w:val="22"/>
        </w:rPr>
        <w:t xml:space="preserve">　    Suction plate dimensions: 140×33×11.5(mm)</w:t>
      </w:r>
    </w:p>
    <w:p>
      <w:pPr>
        <w:pStyle w:val="Normal"/>
        <w:rPr>
          <w:rFonts w:ascii="宋体" w:hAnsi="宋体" w:cs="宋体"/>
          <w:sz w:val="22"/>
          <w:szCs w:val="22"/>
          <w:shd w:fill="FFFFFF" w:val="clear"/>
        </w:rPr>
      </w:pPr>
      <w:r>
        <w:rPr>
          <w:rFonts w:ascii="宋体" w:hAnsi="宋体" w:cs="宋体"/>
          <w:sz w:val="22"/>
          <w:szCs w:val="22"/>
          <w:shd w:fill="FFFFFF" w:val="clear"/>
        </w:rPr>
        <w:t>　    Working principle: Locks when powered on, unlocks when powered off.</w:t>
      </w:r>
    </w:p>
    <w:p>
      <w:pPr>
        <w:pStyle w:val="Normal"/>
        <w:rPr>
          <w:rFonts w:ascii="宋体" w:hAnsi="宋体" w:cs="宋体"/>
          <w:sz w:val="22"/>
          <w:szCs w:val="22"/>
          <w:shd w:fill="FFFFFF" w:val="clear"/>
        </w:rPr>
      </w:pPr>
      <w:r>
        <w:rPr>
          <w:rFonts w:ascii="宋体" w:hAnsi="宋体" w:cs="宋体"/>
          <w:sz w:val="22"/>
          <w:szCs w:val="22"/>
          <w:shd w:fill="FFFFFF" w:val="clear"/>
        </w:rPr>
        <w:t xml:space="preserve">　    Operating voltage: DC 12V ±10%</w:t>
      </w:r>
    </w:p>
    <w:p>
      <w:pPr>
        <w:pStyle w:val="Normal"/>
        <w:rPr>
          <w:rFonts w:ascii="宋体" w:hAnsi="宋体" w:eastAsia="宋体" w:cs="宋体"/>
          <w:sz w:val="22"/>
          <w:szCs w:val="22"/>
          <w:shd w:fill="FFFFFF" w:val="clear"/>
          <w:lang w:val="en-US" w:eastAsia="zh-CN"/>
        </w:rPr>
      </w:pPr>
      <w:r>
        <w:rPr>
          <w:rFonts w:ascii="宋体" w:hAnsi="宋体" w:cs="宋体"/>
          <w:sz w:val="22"/>
          <w:szCs w:val="22"/>
          <w:shd w:fill="FFFFFF" w:val="clear"/>
        </w:rPr>
        <w:t xml:space="preserve">　    Operating current: 330mA</w:t>
      </w:r>
    </w:p>
    <w:p>
      <w:pPr>
        <w:pStyle w:val="Normal"/>
        <w:rPr>
          <w:rFonts w:ascii="宋体" w:hAnsi="宋体" w:eastAsia="宋体" w:cs="宋体"/>
          <w:sz w:val="22"/>
          <w:szCs w:val="22"/>
          <w:shd w:fill="FFFFFF" w:val="clear"/>
          <w:lang w:val="en-US" w:eastAsia="zh-CN"/>
        </w:rPr>
      </w:pPr>
      <w:r>
        <w:rPr>
          <w:rFonts w:cs="宋体" w:ascii="宋体" w:hAnsi="宋体"/>
          <w:sz w:val="22"/>
          <w:szCs w:val="22"/>
          <w:shd w:fill="FFFFFF" w:val="clear"/>
        </w:rPr>
        <w:t xml:space="preserve">      Power: 4W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eastAsia="zh-CN"/>
        </w:rPr>
      </w:pPr>
      <w:r>
        <w:rPr>
          <w:rFonts w:ascii="宋体" w:hAnsi="宋体" w:cs="宋体"/>
          <w:sz w:val="22"/>
          <w:szCs w:val="22"/>
          <w:shd w:fill="FFFFFF" w:val="clear"/>
        </w:rPr>
        <w:t>　Operating temperature rise: ≤ Ambient temperature + 15℃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eastAsia="zh-CN"/>
        </w:rPr>
      </w:pPr>
      <w:r>
        <w:rPr>
          <w:rFonts w:ascii="宋体" w:hAnsi="宋体" w:cs="宋体"/>
          <w:sz w:val="22"/>
          <w:szCs w:val="22"/>
        </w:rPr>
        <w:t>　Static tensile force: 180 kg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eastAsia="zh-CN"/>
        </w:rPr>
      </w:pPr>
      <w:r>
        <w:rPr>
          <w:rFonts w:cs="宋体" w:ascii="宋体" w:hAnsi="宋体"/>
          <w:sz w:val="22"/>
          <w:szCs w:val="22"/>
        </w:rPr>
        <w:t xml:space="preserve">  Indicator lights: None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eastAsia="zh-CN"/>
        </w:rPr>
      </w:pPr>
      <w:r>
        <w:rPr>
          <w:rFonts w:ascii="宋体" w:hAnsi="宋体" w:cs="宋体"/>
          <w:sz w:val="22"/>
          <w:szCs w:val="22"/>
        </w:rPr>
        <w:t>　Operating life: 1 million cycles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eastAsia="zh-CN"/>
        </w:rPr>
      </w:pPr>
      <w:r>
        <w:rPr>
          <w:rFonts w:ascii="宋体" w:hAnsi="宋体" w:cs="宋体"/>
          <w:sz w:val="22"/>
          <w:szCs w:val="22"/>
        </w:rPr>
        <w:t>　Ambient temperature: -20～55℃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eastAsia="zh-CN"/>
        </w:rPr>
      </w:pPr>
      <w:r>
        <w:rPr>
          <w:rFonts w:ascii="宋体" w:hAnsi="宋体" w:cs="宋体"/>
          <w:sz w:val="22"/>
          <w:szCs w:val="22"/>
        </w:rPr>
        <w:t>　Lock body materials: silicon steel sheet, pure copper enameled wire, aluminum alloy</w:t>
      </w:r>
    </w:p>
    <w:p>
      <w:pPr>
        <w:pStyle w:val="Normal"/>
        <w:widowControl/>
        <w:numPr>
          <w:ilvl w:val="0"/>
          <w:numId w:val="0"/>
        </w:numPr>
        <w:ind w:start="420" w:hanging="0"/>
        <w:jc w:val="start"/>
        <w:outlineLvl w:val="2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　Suction plate material: Electrical pure iron</w:t>
      </w:r>
    </w:p>
    <w:p>
      <w:pPr>
        <w:pStyle w:val="Normal"/>
        <w:widowControl/>
        <w:numPr>
          <w:ilvl w:val="0"/>
          <w:numId w:val="0"/>
        </w:numPr>
        <w:jc w:val="start"/>
        <w:outlineLvl w:val="2"/>
        <w:rPr>
          <w:rFonts w:ascii="宋体" w:hAnsi="宋体" w:cs="宋体"/>
          <w:sz w:val="22"/>
          <w:szCs w:val="22"/>
        </w:rPr>
      </w:pPr>
      <w:r>
        <w:rPr>
          <w:rFonts w:cs="宋体" w:ascii="宋体" w:hAnsi="宋体"/>
          <w:sz w:val="22"/>
          <w:szCs w:val="22"/>
        </w:rPr>
      </w:r>
    </w:p>
    <w:p>
      <w:pPr>
        <w:pStyle w:val="Normal"/>
        <w:widowControl/>
        <w:numPr>
          <w:ilvl w:val="0"/>
          <w:numId w:val="0"/>
        </w:numPr>
        <w:jc w:val="start"/>
        <w:outlineLvl w:val="2"/>
        <w:rPr>
          <w:rFonts w:ascii="宋体" w:hAnsi="宋体" w:cs="宋体"/>
          <w:kern w:val="0"/>
          <w:sz w:val="22"/>
          <w:szCs w:val="21"/>
        </w:rPr>
      </w:pPr>
      <w:r>
        <w:rPr>
          <w:rFonts w:cs="宋体" w:ascii="宋体" w:hAnsi="宋体"/>
          <w:kern w:val="0"/>
          <w:sz w:val="22"/>
          <w:szCs w:val="21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eastAsia="宋体" w:cs="宋体"/>
          <w:lang w:eastAsia="zh-CN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Product view (exterior view)</w:t>
      </w:r>
    </w:p>
    <w:p>
      <w:pPr>
        <w:pStyle w:val="Normal"/>
        <w:numPr>
          <w:ilvl w:val="0"/>
          <w:numId w:val="0"/>
        </w:numPr>
        <w:jc w:val="center"/>
        <w:outlineLvl w:val="2"/>
        <w:rPr>
          <w:rFonts w:ascii="宋体" w:hAnsi="宋体" w:eastAsia="宋体" w:cs="宋体"/>
          <w:lang w:eastAsia="zh-CN"/>
        </w:rPr>
      </w:pPr>
      <w:r>
        <w:rPr>
          <w:rFonts w:eastAsia="宋体" w:cs="宋体" w:ascii="宋体" w:hAnsi="宋体"/>
          <w:lang w:eastAsia="zh-CN"/>
        </w:rPr>
        <w:drawing>
          <wp:inline distT="0" distB="0" distL="0" distR="0">
            <wp:extent cx="5273040" cy="3996055"/>
            <wp:effectExtent l="0" t="0" r="0" b="0"/>
            <wp:docPr id="1" name="图片 6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6" descr="" title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rcRect l="-2" t="-3" r="-2" b="-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3040" cy="39960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outlineLvl w:val="2"/>
        <w:rPr>
          <w:rFonts w:ascii="宋体" w:hAnsi="宋体" w:eastAsia="宋体" w:cs="宋体"/>
          <w:color w:val="0000FF"/>
          <w:sz w:val="30"/>
          <w:szCs w:val="30"/>
          <w:lang w:val="en-US" w:eastAsia="zh-CN"/>
        </w:rPr>
      </w:pPr>
      <w:r>
        <w:rPr>
          <w:rFonts w:ascii="宋体" w:hAnsi="宋体" w:cs="宋体"/>
          <w:color w:val="0000FF"/>
          <w:sz w:val="30"/>
          <w:szCs w:val="30"/>
        </w:rPr>
        <w:t>Model: 180G</w:t>
      </w:r>
    </w:p>
    <w:p>
      <w:pPr>
        <w:pStyle w:val="Normal"/>
        <w:numPr>
          <w:ilvl w:val="0"/>
          <w:numId w:val="0"/>
        </w:numPr>
        <w:outlineLvl w:val="2"/>
        <w:rPr>
          <w:rFonts w:ascii="宋体" w:hAnsi="宋体" w:eastAsia="宋体" w:cs="宋体"/>
          <w:color w:val="FF0000"/>
          <w:sz w:val="30"/>
          <w:szCs w:val="21"/>
          <w:lang w:val="en-US" w:eastAsia="zh-CN"/>
        </w:rPr>
      </w:pPr>
      <w:r>
        <w:rPr>
          <w:rFonts w:eastAsia="宋体" w:cs="宋体" w:ascii="宋体" w:hAnsi="宋体"/>
          <w:color w:val="FF0000"/>
          <w:sz w:val="30"/>
          <w:szCs w:val="21"/>
          <w:lang w:val="en-US" w:eastAsia="zh-CN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Product Certification Qualification (Laws and Regulations) Explanation</w:t>
      </w:r>
    </w:p>
    <w:p>
      <w:pPr>
        <w:pStyle w:val="ListParagraph"/>
        <w:ind w:firstLine="440"/>
        <w:rPr>
          <w:rFonts w:ascii="宋体" w:hAnsi="宋体" w:cs="宋体"/>
          <w:kern w:val="0"/>
          <w:sz w:val="22"/>
          <w:szCs w:val="22"/>
        </w:rPr>
      </w:pPr>
      <w:r>
        <w:rPr>
          <w:rFonts w:ascii="宋体" w:hAnsi="宋体" w:cs="宋体"/>
          <w:kern w:val="0"/>
          <w:sz w:val="22"/>
          <w:szCs w:val="22"/>
        </w:rPr>
        <w:t>According to the National Security and Alarm System Product Quality Supervision and Inspection Center (Shanghai)</w:t>
      </w:r>
    </w:p>
    <w:p>
      <w:pPr>
        <w:pStyle w:val="ListParagraph"/>
        <w:ind w:firstLine="440"/>
        <w:rPr>
          <w:rFonts w:ascii="宋体" w:hAnsi="宋体" w:cs="宋体"/>
          <w:kern w:val="0"/>
          <w:sz w:val="22"/>
          <w:szCs w:val="22"/>
        </w:rPr>
      </w:pPr>
      <w:r>
        <w:rPr>
          <w:rFonts w:ascii="宋体" w:hAnsi="宋体" w:cs="宋体"/>
          <w:kern w:val="0"/>
          <w:sz w:val="22"/>
          <w:szCs w:val="22"/>
        </w:rPr>
        <w:t>Testing by the Product Quality Supervision and Inspection Center of the Ministry of Public Security's Security and Alarm System</w:t>
      </w:r>
    </w:p>
    <w:p>
      <w:pPr>
        <w:pStyle w:val="ListParagraph"/>
        <w:ind w:firstLine="440"/>
        <w:rPr>
          <w:rFonts w:ascii="宋体" w:hAnsi="宋体" w:cs="宋体"/>
          <w:kern w:val="0"/>
          <w:sz w:val="22"/>
          <w:szCs w:val="22"/>
        </w:rPr>
      </w:pPr>
      <w:r>
        <w:rPr>
          <w:rFonts w:cs="宋体" w:ascii="宋体" w:hAnsi="宋体"/>
          <w:kern w:val="0"/>
          <w:sz w:val="22"/>
          <w:szCs w:val="22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Structural dimension drawing</w:t>
      </w:r>
      <w:r>
        <w:rPr>
          <w:rFonts w:ascii="宋体" w:hAnsi="宋体" w:cs="宋体"/>
          <w:color w:val="FF0000"/>
          <w:kern w:val="0"/>
          <w:sz w:val="28"/>
          <w:szCs w:val="28"/>
        </w:rPr>
        <w:drawing>
          <wp:inline distT="0" distB="0" distL="0" distR="0">
            <wp:extent cx="4484370" cy="3486785"/>
            <wp:effectExtent l="0" t="0" r="0" b="0"/>
            <wp:docPr id="2" name="图片 7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7" descr="" title=""/>
                    <pic:cNvPicPr>
                      <a:picLocks noChangeAspect="1" noChangeArrowheads="1"/>
                    </pic:cNvPicPr>
                  </pic:nvPicPr>
                  <pic:blipFill>
                    <a:blip r:embed="rId3"/>
                    <a:srcRect l="-4" t="-5" r="-4" b="-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4370" cy="34867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numPr>
          <w:ilvl w:val="0"/>
          <w:numId w:val="0"/>
        </w:numPr>
        <w:jc w:val="center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cs="宋体" w:ascii="宋体" w:hAnsi="宋体"/>
          <w:color w:val="FF0000"/>
          <w:kern w:val="0"/>
          <w:sz w:val="28"/>
          <w:szCs w:val="28"/>
        </w:rPr>
      </w:r>
    </w:p>
    <w:p>
      <w:pPr>
        <w:pStyle w:val="Normal"/>
        <w:numPr>
          <w:ilvl w:val="0"/>
          <w:numId w:val="0"/>
        </w:numPr>
        <w:outlineLvl w:val="2"/>
        <w:rPr/>
      </w:pPr>
      <w:r>
        <w:rPr/>
        <w:t>Note: All dimensions are in mm.</w:t>
      </w:r>
    </w:p>
    <w:p>
      <w:pPr>
        <w:pStyle w:val="Normal"/>
        <w:numPr>
          <w:ilvl w:val="0"/>
          <w:numId w:val="0"/>
        </w:numPr>
        <w:outlineLvl w:val="2"/>
        <w:rPr/>
      </w:pPr>
      <w:r>
        <w:rPr/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Bill of Materials</w:t>
      </w:r>
    </w:p>
    <w:tbl>
      <w:tblPr>
        <w:tblW w:w="6884" w:type="dxa"/>
        <w:jc w:val="start"/>
        <w:tblInd w:w="93" w:type="dxa"/>
        <w:tblLayout w:type="fixed"/>
        <w:tblCellMar>
          <w:top w:w="0" w:type="dxa"/>
          <w:start w:w="108" w:type="dxa"/>
          <w:bottom w:w="0" w:type="dxa"/>
          <w:end w:w="108" w:type="dxa"/>
        </w:tblCellMar>
      </w:tblPr>
      <w:tblGrid>
        <w:gridCol w:w="3373"/>
        <w:gridCol w:w="3511"/>
      </w:tblGrid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宋体" w:hAnsi="宋体" w:cs="宋体"/>
                <w:color w:val="0000FF"/>
                <w:kern w:val="0"/>
                <w:sz w:val="24"/>
              </w:rPr>
            </w:pPr>
            <w:r>
              <w:rPr>
                <w:rFonts w:ascii="宋体" w:hAnsi="宋体" w:cs="宋体"/>
                <w:color w:val="0000FF"/>
                <w:kern w:val="0"/>
                <w:sz w:val="24"/>
              </w:rPr>
              <w:t>name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color w:val="0000FF"/>
                <w:kern w:val="0"/>
                <w:sz w:val="24"/>
              </w:rPr>
            </w:pPr>
            <w:r>
              <w:rPr>
                <w:color w:val="0000FF"/>
                <w:kern w:val="0"/>
                <w:sz w:val="24"/>
              </w:rPr>
              <w:t>Quantity (units)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cs="宋体"/>
                <w:kern w:val="0"/>
                <w:sz w:val="24"/>
              </w:rPr>
            </w:pPr>
            <w:r>
              <w:rPr>
                <w:rFonts w:cs="宋体" w:ascii="宋体" w:hAnsi="宋体"/>
                <w:kern w:val="0"/>
                <w:sz w:val="24"/>
                <w:lang w:val="en-US" w:eastAsia="zh-CN"/>
              </w:rPr>
              <w:t>180G lock body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4"/>
              </w:rPr>
            </w:pPr>
            <w:r>
              <w:rPr>
                <w:kern w:val="0"/>
                <w:sz w:val="24"/>
                <w:lang w:val="en-US" w:eastAsia="zh-CN"/>
              </w:rPr>
              <w:t>1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eastAsia="宋体" w:cs="宋体"/>
                <w:kern w:val="0"/>
                <w:sz w:val="24"/>
                <w:lang w:eastAsia="zh-CN"/>
              </w:rPr>
            </w:pPr>
            <w:r>
              <w:rPr/>
              <w:t>Vice board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color w:val="000000"/>
                <w:kern w:val="0"/>
                <w:sz w:val="24"/>
              </w:rPr>
            </w:pPr>
            <w:r>
              <w:rPr>
                <w:color w:val="000000"/>
                <w:kern w:val="0"/>
                <w:sz w:val="24"/>
                <w:lang w:val="en-US" w:eastAsia="zh-CN"/>
              </w:rPr>
              <w:t>1 piece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cs="宋体"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/>
              <w:t>M8*30mm mushroom head screw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kern w:val="0"/>
                <w:sz w:val="24"/>
                <w:lang w:val="en-US" w:eastAsia="zh-CN"/>
              </w:rPr>
              <w:t>1 piece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cs="宋体"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/>
              <w:t>M8*50mm Phillips head screw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kern w:val="0"/>
                <w:sz w:val="24"/>
                <w:lang w:val="en-US" w:eastAsia="zh-CN"/>
              </w:rPr>
              <w:t>1 piece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cs="宋体"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/>
              <w:t>M4*30mm Phillips head countersunk screws (for wooden doors)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kern w:val="0"/>
                <w:sz w:val="24"/>
                <w:lang w:val="en-US" w:eastAsia="zh-CN"/>
              </w:rPr>
              <w:t>5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/>
              <w:t>Φ20*10*1mm rubber sheet spacer/white gasket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rFonts w:ascii="宋体" w:hAnsi="宋体" w:cs="宋体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kern w:val="0"/>
                <w:sz w:val="24"/>
                <w:lang w:val="en-US" w:eastAsia="zh-CN"/>
              </w:rPr>
              <w:t>1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eastAsia="宋体" w:cs="宋体"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>
                <w:rFonts w:ascii="宋体" w:hAnsi="宋体" w:cs="宋体"/>
                <w:kern w:val="0"/>
                <w:sz w:val="24"/>
              </w:rPr>
              <w:t>4.6 cents spoon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rFonts w:cs="宋体" w:ascii="宋体" w:hAnsi="宋体"/>
                <w:kern w:val="0"/>
                <w:sz w:val="24"/>
                <w:lang w:val="en-US" w:eastAsia="zh-CN"/>
              </w:rPr>
              <w:t>1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ascii="宋体" w:hAnsi="宋体" w:cs="宋体"/>
                <w:color w:val="0000FF"/>
                <w:kern w:val="0"/>
                <w:sz w:val="24"/>
                <w:szCs w:val="24"/>
                <w:lang w:val="en-US" w:eastAsia="zh-CN" w:bidi="ar-SA"/>
              </w:rPr>
            </w:pPr>
            <w:r>
              <w:rPr/>
              <w:t>4*12mm spring pin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kern w:val="0"/>
                <w:sz w:val="24"/>
                <w:lang w:val="en-US" w:eastAsia="zh-CN"/>
              </w:rPr>
              <w:t>2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kern w:val="2"/>
                <w:sz w:val="21"/>
                <w:szCs w:val="24"/>
                <w:lang w:val="en-US" w:eastAsia="zh-CN" w:bidi="ar-SA"/>
              </w:rPr>
            </w:pPr>
            <w:r>
              <w:rPr/>
              <w:t>manual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 w:val="21"/>
                <w:szCs w:val="21"/>
                <w:lang w:val="en-US" w:eastAsia="zh-CN" w:bidi="ar-SA"/>
              </w:rPr>
            </w:pPr>
            <w:r>
              <w:rPr>
                <w:kern w:val="0"/>
                <w:szCs w:val="21"/>
                <w:lang w:val="en-US" w:eastAsia="zh-CN"/>
              </w:rPr>
              <w:t>1 copy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rFonts w:eastAsia="宋体"/>
                <w:lang w:val="en-US" w:eastAsia="zh-CN"/>
              </w:rPr>
            </w:pPr>
            <w:r>
              <w:rPr>
                <w:lang w:val="en-US" w:eastAsia="zh-CN"/>
              </w:rPr>
              <w:t>Certificate of Conformity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Cs w:val="21"/>
                <w:lang w:val="en-US" w:eastAsia="zh-CN"/>
              </w:rPr>
            </w:pPr>
            <w:r>
              <w:rPr>
                <w:kern w:val="0"/>
                <w:szCs w:val="21"/>
                <w:lang w:val="en-US" w:eastAsia="zh-CN"/>
              </w:rPr>
              <w:t>1 copy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lang w:val="en-US" w:eastAsia="zh-CN"/>
              </w:rPr>
            </w:pPr>
            <w:r>
              <w:rPr>
                <w:lang w:val="en-US" w:eastAsia="zh-CN"/>
              </w:rPr>
              <w:t>Desiccant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Cs w:val="21"/>
                <w:lang w:val="en-US" w:eastAsia="zh-CN"/>
              </w:rPr>
            </w:pPr>
            <w:r>
              <w:rPr>
                <w:kern w:val="0"/>
                <w:szCs w:val="21"/>
                <w:lang w:val="en-US" w:eastAsia="zh-CN"/>
              </w:rPr>
              <w:t>1</w:t>
            </w:r>
          </w:p>
        </w:tc>
      </w:tr>
      <w:tr>
        <w:trPr>
          <w:trHeight w:val="375" w:hRule="atLeast"/>
        </w:trPr>
        <w:tc>
          <w:tcPr>
            <w:tcW w:w="3373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start"/>
              <w:rPr>
                <w:lang w:val="en-US" w:eastAsia="zh-CN"/>
              </w:rPr>
            </w:pPr>
            <w:r>
              <w:rPr>
                <w:lang w:val="en-US" w:eastAsia="zh-CN"/>
              </w:rPr>
              <w:t>Hole positioning paper</w:t>
            </w:r>
          </w:p>
        </w:tc>
        <w:tc>
          <w:tcPr>
            <w:tcW w:w="3511" w:type="dxa"/>
            <w:tcBorders>
              <w:top w:val="single" w:sz="4" w:space="0" w:color="000000"/>
              <w:start w:val="single" w:sz="4" w:space="0" w:color="000000"/>
              <w:bottom w:val="single" w:sz="4" w:space="0" w:color="000000"/>
              <w:end w:val="single" w:sz="4" w:space="0" w:color="000000"/>
            </w:tcBorders>
            <w:vAlign w:val="center"/>
          </w:tcPr>
          <w:p>
            <w:pPr>
              <w:pStyle w:val="Normal"/>
              <w:widowControl/>
              <w:jc w:val="center"/>
              <w:rPr>
                <w:kern w:val="0"/>
                <w:szCs w:val="21"/>
                <w:lang w:val="en-US" w:eastAsia="zh-CN"/>
              </w:rPr>
            </w:pPr>
            <w:r>
              <w:rPr>
                <w:kern w:val="0"/>
                <w:szCs w:val="21"/>
                <w:lang w:val="en-US" w:eastAsia="zh-CN"/>
              </w:rPr>
              <w:t>1 copy</w:t>
            </w:r>
          </w:p>
        </w:tc>
      </w:tr>
    </w:tbl>
    <w:p>
      <w:pPr>
        <w:pStyle w:val="Normal"/>
        <w:widowControl/>
        <w:numPr>
          <w:ilvl w:val="0"/>
          <w:numId w:val="0"/>
        </w:numPr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cs="宋体" w:ascii="宋体" w:hAnsi="宋体"/>
          <w:color w:val="FF0000"/>
          <w:kern w:val="0"/>
          <w:sz w:val="28"/>
          <w:szCs w:val="28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Packaging method and outer box labeling</w:t>
      </w:r>
    </w:p>
    <w:p>
      <w:pPr>
        <w:pStyle w:val="Normal"/>
        <w:widowControl/>
        <w:numPr>
          <w:ilvl w:val="0"/>
          <w:numId w:val="0"/>
        </w:numPr>
        <w:jc w:val="start"/>
        <w:outlineLvl w:val="2"/>
        <w:rPr>
          <w:rFonts w:ascii="宋体" w:hAnsi="宋体" w:eastAsia="宋体" w:cs="宋体"/>
          <w:color w:val="0000FF"/>
          <w:sz w:val="22"/>
          <w:szCs w:val="22"/>
          <w:shd w:fill="FFFFFF" w:val="clear"/>
          <w:lang w:val="en-US" w:eastAsia="zh-CN"/>
        </w:rPr>
      </w:pPr>
      <w:r>
        <w:rPr>
          <w:rFonts w:ascii="宋体" w:hAnsi="宋体" w:cs="宋体"/>
          <w:color w:val="0000FF"/>
          <w:sz w:val="22"/>
          <w:szCs w:val="22"/>
          <w:shd w:fill="FFFFFF" w:val="clear"/>
        </w:rPr>
        <w:t>Model: 180G                                                     </w:t>
      </w:r>
    </w:p>
    <w:p>
      <w:pPr>
        <w:pStyle w:val="Normal"/>
        <w:widowControl/>
        <w:numPr>
          <w:ilvl w:val="0"/>
          <w:numId w:val="0"/>
        </w:numPr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val="en-US" w:eastAsia="zh-CN"/>
        </w:rPr>
      </w:pPr>
      <w:r>
        <w:rPr>
          <w:rFonts w:cs="宋体" w:ascii="宋体" w:hAnsi="宋体"/>
          <w:sz w:val="22"/>
          <w:szCs w:val="22"/>
          <w:shd w:fill="FFFFFF" w:val="clear"/>
        </w:rPr>
        <w:t xml:space="preserve">    Net weight of a single lock: 1kg                                                       </w:t>
      </w:r>
    </w:p>
    <w:p>
      <w:pPr>
        <w:pStyle w:val="Normal"/>
        <w:widowControl/>
        <w:numPr>
          <w:ilvl w:val="0"/>
          <w:numId w:val="0"/>
        </w:numPr>
        <w:ind w:firstLine="44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val="en-US" w:eastAsia="zh-CN"/>
        </w:rPr>
      </w:pPr>
      <w:r>
        <w:rPr>
          <w:rFonts w:ascii="宋体" w:hAnsi="宋体" w:cs="宋体"/>
          <w:sz w:val="22"/>
          <w:szCs w:val="22"/>
          <w:shd w:fill="FFFFFF" w:val="clear"/>
        </w:rPr>
        <w:t>Total quantity: 24 pieces                                              </w:t>
      </w:r>
    </w:p>
    <w:p>
      <w:pPr>
        <w:pStyle w:val="Normal"/>
        <w:widowControl/>
        <w:numPr>
          <w:ilvl w:val="0"/>
          <w:numId w:val="0"/>
        </w:numPr>
        <w:ind w:firstLine="440"/>
        <w:jc w:val="start"/>
        <w:outlineLvl w:val="2"/>
        <w:rPr>
          <w:rFonts w:ascii="宋体" w:hAnsi="宋体" w:cs="宋体"/>
          <w:sz w:val="22"/>
          <w:szCs w:val="22"/>
          <w:shd w:fill="FFFFFF" w:val="clear"/>
        </w:rPr>
      </w:pPr>
      <w:r>
        <w:rPr>
          <w:rFonts w:ascii="宋体" w:hAnsi="宋体" w:cs="宋体"/>
          <w:sz w:val="22"/>
          <w:szCs w:val="22"/>
          <w:shd w:fill="FFFFFF" w:val="clear"/>
        </w:rPr>
        <w:t>Total net weight: 25kg                                                           </w:t>
      </w:r>
    </w:p>
    <w:p>
      <w:pPr>
        <w:pStyle w:val="Normal"/>
        <w:widowControl/>
        <w:numPr>
          <w:ilvl w:val="0"/>
          <w:numId w:val="0"/>
        </w:numPr>
        <w:ind w:firstLine="440"/>
        <w:jc w:val="start"/>
        <w:outlineLvl w:val="2"/>
        <w:rPr>
          <w:rFonts w:ascii="宋体" w:hAnsi="宋体" w:eastAsia="宋体" w:cs="宋体"/>
          <w:sz w:val="22"/>
          <w:szCs w:val="22"/>
          <w:shd w:fill="FFFFFF" w:val="clear"/>
          <w:lang w:val="en-US" w:eastAsia="zh-CN"/>
        </w:rPr>
      </w:pPr>
      <w:r>
        <w:rPr>
          <w:rFonts w:ascii="宋体" w:hAnsi="宋体" w:cs="宋体"/>
          <w:sz w:val="22"/>
          <w:szCs w:val="22"/>
          <w:shd w:fill="FFFFFF" w:val="clear"/>
        </w:rPr>
        <w:t>Outer box dimensions: 39*21.5*25           </w:t>
      </w:r>
    </w:p>
    <w:p>
      <w:pPr>
        <w:pStyle w:val="Normal"/>
        <w:widowControl/>
        <w:numPr>
          <w:ilvl w:val="0"/>
          <w:numId w:val="0"/>
        </w:numPr>
        <w:ind w:firstLine="440"/>
        <w:jc w:val="start"/>
        <w:outlineLvl w:val="2"/>
        <w:rPr>
          <w:rFonts w:ascii="宋体" w:hAnsi="宋体" w:cs="宋体"/>
          <w:sz w:val="24"/>
        </w:rPr>
      </w:pPr>
      <w:r>
        <w:rPr>
          <w:rFonts w:cs="宋体" w:ascii="宋体" w:hAnsi="宋体"/>
          <w:sz w:val="22"/>
          <w:szCs w:val="22"/>
          <w:shd w:fill="FFFFFF" w:val="clear"/>
        </w:rPr>
        <w:t xml:space="preserve"> </w:t>
      </w:r>
    </w:p>
    <w:p>
      <w:pPr>
        <w:pStyle w:val="Normal"/>
        <w:widowControl/>
        <w:numPr>
          <w:ilvl w:val="0"/>
          <w:numId w:val="0"/>
        </w:numPr>
        <w:ind w:firstLine="480"/>
        <w:jc w:val="start"/>
        <w:outlineLvl w:val="2"/>
        <w:rPr>
          <w:rFonts w:ascii="宋体" w:hAnsi="宋体" w:cs="宋体"/>
          <w:sz w:val="24"/>
        </w:rPr>
      </w:pPr>
      <w:r>
        <w:rPr>
          <w:rFonts w:cs="宋体" w:ascii="宋体" w:hAnsi="宋体"/>
          <w:sz w:val="24"/>
        </w:rPr>
      </w:r>
    </w:p>
    <w:p>
      <w:pPr>
        <w:pStyle w:val="Normal"/>
        <w:rPr>
          <w:rFonts w:ascii="宋体" w:hAnsi="宋体" w:cs="宋体"/>
          <w:sz w:val="24"/>
        </w:rPr>
      </w:pPr>
      <w:r>
        <w:rPr>
          <w:rFonts w:cs="宋体" w:ascii="宋体" w:hAnsi="宋体"/>
          <w:sz w:val="24"/>
        </w:rPr>
      </w:r>
    </w:p>
    <w:p>
      <w:pPr>
        <w:pStyle w:val="Normal"/>
        <w:rPr>
          <w:rFonts w:ascii="宋体" w:hAnsi="宋体" w:cs="宋体"/>
          <w:b/>
          <w:b/>
          <w:color w:val="FF0000"/>
        </w:rPr>
      </w:pPr>
      <w:r>
        <w:rPr>
          <w:rFonts w:ascii="宋体" w:hAnsi="宋体" w:cs="宋体"/>
          <w:b/>
          <w:color w:val="FF0000"/>
        </w:rPr>
        <w:t>Note: Production batch number and production date are subject to the actual goods.</w:t>
      </w:r>
    </w:p>
    <w:p>
      <w:pPr>
        <w:pStyle w:val="Normal"/>
        <w:rPr>
          <w:rFonts w:ascii="宋体" w:hAnsi="宋体" w:eastAsia="宋体" w:cs="宋体"/>
          <w:b/>
          <w:b/>
          <w:color w:val="FF0000"/>
          <w:lang w:eastAsia="zh-CN"/>
        </w:rPr>
      </w:pPr>
      <w:r>
        <w:rPr>
          <w:rFonts w:eastAsia="宋体" w:cs="宋体" w:ascii="宋体" w:hAnsi="宋体"/>
          <w:b/>
          <w:color w:val="FF0000"/>
          <w:lang w:eastAsia="zh-CN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color w:val="FF0000"/>
          <w:kern w:val="0"/>
          <w:sz w:val="28"/>
          <w:szCs w:val="28"/>
        </w:rPr>
      </w:pPr>
      <w:r>
        <w:rPr>
          <w:rFonts w:ascii="宋体" w:hAnsi="宋体" w:cs="宋体"/>
          <w:color w:val="FF0000"/>
          <w:kern w:val="0"/>
          <w:sz w:val="28"/>
          <w:szCs w:val="28"/>
        </w:rPr>
        <w:t>Storage and transportation requirements</w:t>
      </w:r>
    </w:p>
    <w:p>
      <w:pPr>
        <w:pStyle w:val="Normal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　　conventional</w:t>
      </w:r>
    </w:p>
    <w:p>
      <w:pPr>
        <w:pStyle w:val="Normal"/>
        <w:rPr>
          <w:rFonts w:ascii="宋体" w:hAnsi="宋体" w:cs="宋体"/>
          <w:kern w:val="0"/>
          <w:sz w:val="22"/>
          <w:szCs w:val="21"/>
        </w:rPr>
      </w:pPr>
      <w:r>
        <w:rPr>
          <w:rFonts w:cs="宋体" w:ascii="宋体" w:hAnsi="宋体"/>
          <w:kern w:val="0"/>
          <w:sz w:val="22"/>
          <w:szCs w:val="21"/>
        </w:rPr>
      </w:r>
    </w:p>
    <w:p>
      <w:pPr>
        <w:pStyle w:val="Normal"/>
        <w:widowControl/>
        <w:numPr>
          <w:ilvl w:val="0"/>
          <w:numId w:val="1"/>
        </w:numPr>
        <w:tabs>
          <w:tab w:val="left" w:pos="420" w:leader="none"/>
        </w:tabs>
        <w:jc w:val="start"/>
        <w:outlineLvl w:val="2"/>
        <w:rPr>
          <w:rFonts w:ascii="宋体" w:hAnsi="宋体" w:cs="宋体"/>
          <w:kern w:val="0"/>
          <w:sz w:val="28"/>
          <w:szCs w:val="28"/>
        </w:rPr>
      </w:pPr>
      <w:r>
        <w:rPr>
          <w:rFonts w:ascii="宋体" w:hAnsi="宋体" w:cs="宋体"/>
          <w:kern w:val="0"/>
          <w:sz w:val="28"/>
          <w:szCs w:val="28"/>
        </w:rPr>
        <w:t>Product warranty and service (optional)</w:t>
      </w:r>
    </w:p>
    <w:p>
      <w:pPr>
        <w:pStyle w:val="Normal"/>
        <w:rPr>
          <w:rFonts w:ascii="宋体" w:hAnsi="宋体" w:cs="宋体"/>
          <w:sz w:val="22"/>
          <w:szCs w:val="22"/>
        </w:rPr>
      </w:pPr>
      <w:r>
        <w:rPr>
          <w:rFonts w:ascii="宋体" w:hAnsi="宋体" w:cs="宋体"/>
          <w:sz w:val="22"/>
          <w:szCs w:val="22"/>
        </w:rPr>
        <w:t>　　Two-year warranty.</w:t>
      </w:r>
    </w:p>
    <w:p>
      <w:pPr>
        <w:pStyle w:val="Normal"/>
        <w:rPr>
          <w:rFonts w:ascii="宋体" w:hAnsi="宋体" w:cs="宋体"/>
          <w:sz w:val="22"/>
          <w:szCs w:val="22"/>
        </w:rPr>
      </w:pPr>
      <w:r>
        <w:rPr>
          <w:rFonts w:cs="宋体" w:ascii="宋体" w:hAnsi="宋体"/>
          <w:sz w:val="22"/>
          <w:szCs w:val="22"/>
        </w:rPr>
      </w:r>
    </w:p>
    <w:sectPr>
      <w:headerReference w:type="default" r:id="rId4"/>
      <w:footerReference w:type="default" r:id="rId5"/>
      <w:type w:val="nextPage"/>
      <w:pgSz w:w="11906" w:h="16838"/>
      <w:pgMar w:left="1800" w:right="1800" w:header="851" w:top="1440" w:footer="992" w:bottom="1440" w:gutter="0"/>
      <w:pgNumType w:fmt="decimal"/>
      <w:formProt w:val="false"/>
      <w:textDirection w:val="lrTb"/>
      <w:docGrid w:type="lines" w:linePitch="312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1" w:characterSet="utf-8"/>
    <w:family w:val="roman"/>
    <w:pitch w:val="variable"/>
  </w:font>
  <w:font w:name="Times New Roman">
    <w:charset w:val="00" w:characterSet="windows-1252"/>
    <w:family w:val="roman"/>
    <w:pitch w:val="default"/>
  </w:font>
  <w:font w:name="宋体">
    <w:charset w:val="86"/>
    <w:family w:val="auto"/>
    <w:pitch w:val="default"/>
  </w:font>
  <w:font w:name="Wingdings">
    <w:charset w:val="02"/>
    <w:family w:val="auto"/>
    <w:pitch w:val="default"/>
  </w:font>
  <w:font w:name="Liberation Sans">
    <w:altName w:val="Arial"/>
    <w:charset w:val="01" w:characterSet="utf-8"/>
    <w:family w:val="swiss"/>
    <w:pitch w:val="variable"/>
  </w:font>
  <w:font w:name="新宋体">
    <w:charset w:val="86"/>
    <w:family w:val="modern"/>
    <w:pitch w:val="default"/>
  </w:font>
  <w:font w:name="华文仿宋">
    <w:altName w:val="仿宋"/>
    <w:charset w:val="86"/>
    <w:family w:val="auto"/>
    <w:pitch w:val="default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Footer"/>
      <w:ind w:end="360" w:hanging="0"/>
      <w:jc w:val="both"/>
      <w:rPr/>
    </w:pPr>
    <w:r>
      <w:rPr>
        <w:sz w:val="21"/>
        <w:szCs w:val="21"/>
      </w:rPr>
      <w:t>All information above is the property of Zhongshan Ju'an Shield Electronic Lock Industry Co., Ltd. and may not be disclosed.</w:t>
    </w:r>
    <w:r>
      <w:rPr>
        <w:rFonts w:cs="宋体" w:ascii="宋体" w:hAnsi="宋体"/>
        <w:sz w:val="21"/>
        <w:szCs w:val="21"/>
      </w:rPr>
      <w:t xml:space="preserve"> </w:t>
      <w:tab/>
    </w:r>
    <w:r>
      <mc:AlternateContent>
        <mc:Choice Requires="wps">
          <w:drawing>
            <wp:anchor behindDoc="0" distT="0" distB="0" distL="0" distR="0" simplePos="0" locked="0" layoutInCell="0" allowOverlap="1" relativeHeight="8">
              <wp:simplePos x="0" y="0"/>
              <wp:positionH relativeFrom="page">
                <wp:posOffset>6058535</wp:posOffset>
              </wp:positionH>
              <wp:positionV relativeFrom="paragraph">
                <wp:posOffset>635</wp:posOffset>
              </wp:positionV>
              <wp:extent cx="332105" cy="164465"/>
              <wp:effectExtent l="0" t="0" r="0" b="0"/>
              <wp:wrapSquare wrapText="largest"/>
              <wp:docPr id="3" name="Frame1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32105" cy="164465"/>
                      </a:xfrm>
                      <a:prstGeom prst="rect"/>
                      <a:solidFill>
                        <a:srgbClr val="FFFFFF">
                          <a:alpha val="0"/>
                        </a:srgbClr>
                      </a:solidFill>
                    </wps:spPr>
                    <wps:txbx>
                      <w:txbxContent>
                        <w:p>
                          <w:pPr>
                            <w:pStyle w:val="Footer"/>
                            <w:rPr>
                              <w:rStyle w:val="PageNumber"/>
                            </w:rPr>
                          </w:pPr>
                          <w:r>
                            <w:rPr>
                              <w:rStyle w:val="PageNumber"/>
                            </w:rPr>
                            <w:t>No.</w:t>
                          </w:r>
                          <w:r>
                            <w:rPr/>
                            <w:fldChar w:fldCharType="begin"/>
                          </w:r>
                          <w:r>
                            <w:rPr/>
                            <w:instrText> PAGE </w:instrText>
                          </w:r>
                          <w:r>
                            <w:rPr/>
                            <w:fldChar w:fldCharType="separate"/>
                          </w:r>
                          <w:r>
                            <w:rPr/>
                            <w:t>5</w:t>
                          </w:r>
                          <w:r>
                            <w:rPr/>
                            <w:fldChar w:fldCharType="end"/>
                          </w:r>
                          <w:r>
                            <w:rPr>
                              <w:rStyle w:val="PageNumber"/>
                            </w:rPr>
                            <w:t>Page</w:t>
                          </w:r>
                        </w:p>
                      </w:txbxContent>
                    </wps:txbx>
                    <wps:bodyPr anchor="t" lIns="0" tIns="0" rIns="0" bIns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yle="position:absolute;rotation:0;width:26.15pt;height:12.95pt;mso-wrap-distance-left:0pt;mso-wrap-distance-right:0pt;mso-wrap-distance-top:0pt;mso-wrap-distance-bottom:0pt;margin-top:0pt;mso-position-vertical:top;mso-position-vertical-relative:text;margin-left:477.05pt;mso-position-horizontal-relative:page">
              <v:fill opacity="0f"/>
              <v:textbox inset="0in,0in,0in,0in">
                <w:txbxContent>
                  <w:p>
                    <w:pPr>
                      <w:pStyle w:val="Footer"/>
                      <w:rPr>
                        <w:rStyle w:val="PageNumber"/>
                      </w:rPr>
                    </w:pPr>
                    <w:r>
                      <w:rPr>
                        <w:rStyle w:val="PageNumber"/>
                      </w:rPr>
                      <w:t>No.</w:t>
                    </w:r>
                    <w:r>
                      <w:rPr/>
                      <w:fldChar w:fldCharType="begin"/>
                    </w:r>
                    <w:r>
                      <w:rPr/>
                      <w:instrText> PAGE </w:instrText>
                    </w:r>
                    <w:r>
                      <w:rPr/>
                      <w:fldChar w:fldCharType="separate"/>
                    </w:r>
                    <w:r>
                      <w:rPr/>
                      <w:t>5</w:t>
                    </w:r>
                    <w:r>
                      <w:rPr/>
                      <w:fldChar w:fldCharType="end"/>
                    </w:r>
                    <w:r>
                      <w:rPr>
                        <w:rStyle w:val="PageNumber"/>
                      </w:rPr>
                      <w:t>Page</w:t>
                    </w:r>
                  </w:p>
                </w:txbxContent>
              </v:textbox>
              <w10:wrap type="square" side="largest"/>
            </v:rect>
          </w:pict>
        </mc:Fallback>
      </mc:AlternateConten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eader"/>
      <w:jc w:val="both"/>
      <w:rPr>
        <w:rFonts w:eastAsia="华文仿宋;仿宋"/>
        <w:sz w:val="24"/>
      </w:rPr>
    </w:pPr>
    <w:r>
      <w:rPr>
        <w:rFonts w:ascii="宋体" w:hAnsi="宋体" w:cs="宋体"/>
        <w:sz w:val="24"/>
        <w:szCs w:val="24"/>
        <w:lang w:val="en-US" w:eastAsia="zh-CN"/>
      </w:rPr>
      <w:t>Ju'an Shield Electronic Lock Industry</w:t>
    </w:r>
    <w:r>
      <w:rPr>
        <w:rFonts w:ascii="宋体" w:hAnsi="宋体" w:cs="宋体"/>
        <w:sz w:val="28"/>
        <w:szCs w:val="28"/>
      </w:rPr>
      <w:t xml:space="preserve">                                       </w:t>
    </w:r>
    <w:r>
      <w:rPr>
        <w:rFonts w:ascii="华文仿宋;仿宋" w:hAnsi="华文仿宋;仿宋" w:cs="宋体" w:eastAsia="华文仿宋;仿宋"/>
        <w:sz w:val="24"/>
      </w:rPr>
      <w:t>Internal Disclosure</w:t>
    </w:r>
    <w:r>
      <w:rPr>
        <w:color w:val="000000"/>
        <w:kern w:val="0"/>
        <w:sz w:val="24"/>
      </w:rPr>
      <w:t>Internal use only</w:t>
    </w:r>
    <w:r>
      <w:rPr>
        <w:rFonts w:eastAsia="华文仿宋;仿宋" w:cs="华文仿宋;仿宋" w:ascii="华文仿宋;仿宋" w:hAnsi="华文仿宋;仿宋"/>
        <w:sz w:val="24"/>
        <w:szCs w:val="24"/>
      </w:rPr>
      <w:t>▲</w:t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420" w:hanging="420"/>
      </w:pPr>
      <w:rPr>
        <w:sz w:val="28"/>
        <w:kern w:val="0"/>
        <w:szCs w:val="28"/>
        <w:rFonts w:ascii="宋体" w:hAnsi="宋体" w:cs="宋体"/>
        <w:color w:val="FF0000"/>
      </w:rPr>
    </w:lvl>
    <w:lvl w:ilvl="1">
      <w:start w:val="1"/>
      <w:numFmt w:val="bullet"/>
      <w:lvlText w:val=""/>
      <w:lvlJc w:val="start"/>
      <w:pPr>
        <w:tabs>
          <w:tab w:val="num" w:pos="0"/>
        </w:tabs>
        <w:ind w:start="840" w:hanging="420"/>
      </w:pPr>
      <w:rPr>
        <w:rFonts w:ascii="Wingdings" w:hAnsi="Wingdings" w:cs="Wingdings" w:hint="default"/>
        <w:kern w:val="0"/>
        <w:szCs w:val="21"/>
        <w:color w:val="000000"/>
        <w:lang w:eastAsia="zh-CN"/>
      </w:rPr>
    </w:lvl>
    <w:lvl w:ilvl="2">
      <w:start w:val="1"/>
      <w:numFmt w:val="lowerRoman"/>
      <w:lvlText w:val="%3."/>
      <w:lvlJc w:val="end"/>
      <w:pPr>
        <w:tabs>
          <w:tab w:val="num" w:pos="0"/>
        </w:tabs>
        <w:ind w:start="1260" w:hanging="42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1680" w:hanging="420"/>
      </w:pPr>
      <w:rPr/>
    </w:lvl>
    <w:lvl w:ilvl="4">
      <w:start w:val="1"/>
      <w:numFmt w:val="lowerLetter"/>
      <w:lvlText w:val="%5)"/>
      <w:lvlJc w:val="start"/>
      <w:pPr>
        <w:tabs>
          <w:tab w:val="num" w:pos="0"/>
        </w:tabs>
        <w:ind w:start="2100" w:hanging="42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2520" w:hanging="42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940" w:hanging="420"/>
      </w:pPr>
      <w:rPr/>
    </w:lvl>
    <w:lvl w:ilvl="7">
      <w:start w:val="1"/>
      <w:numFmt w:val="lowerLetter"/>
      <w:lvlText w:val="%8)"/>
      <w:lvlJc w:val="start"/>
      <w:pPr>
        <w:tabs>
          <w:tab w:val="num" w:pos="0"/>
        </w:tabs>
        <w:ind w:start="3360" w:hanging="42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780" w:hanging="420"/>
      </w:pPr>
      <w:rPr/>
    </w:lvl>
  </w:abstractNum>
  <w:abstractNum w:abstractNumId="2">
    <w:lvl w:ilvl="0">
      <w:start w:val="1"/>
      <w:numFmt w:val="bullet"/>
      <w:lvlText w:val=""/>
      <w:lvlJc w:val="start"/>
      <w:pPr>
        <w:tabs>
          <w:tab w:val="num" w:pos="0"/>
        </w:tabs>
        <w:ind w:start="840" w:hanging="420"/>
      </w:pPr>
      <w:rPr>
        <w:rFonts w:ascii="Wingdings" w:hAnsi="Wingdings" w:cs="Wingdings" w:hint="default"/>
        <w:b w:val="false"/>
        <w:kern w:val="0"/>
        <w:szCs w:val="21"/>
        <w:color w:val="000000"/>
        <w:lang w:val="en-US" w:eastAsia="zh-CN"/>
      </w:rPr>
    </w:lvl>
    <w:lvl w:ilvl="1">
      <w:start w:val="1"/>
      <w:numFmt w:val="bullet"/>
      <w:lvlText w:val=""/>
      <w:lvlJc w:val="start"/>
      <w:pPr>
        <w:tabs>
          <w:tab w:val="num" w:pos="0"/>
        </w:tabs>
        <w:ind w:start="1260" w:hanging="420"/>
      </w:pPr>
      <w:rPr>
        <w:rFonts w:ascii="Wingdings" w:hAnsi="Wingdings" w:cs="Wingdings" w:hint="default"/>
      </w:rPr>
    </w:lvl>
    <w:lvl w:ilvl="2">
      <w:start w:val="1"/>
      <w:numFmt w:val="bullet"/>
      <w:lvlText w:val=""/>
      <w:lvlJc w:val="start"/>
      <w:pPr>
        <w:tabs>
          <w:tab w:val="num" w:pos="0"/>
        </w:tabs>
        <w:ind w:start="1680" w:hanging="420"/>
      </w:pPr>
      <w:rPr>
        <w:rFonts w:ascii="Wingdings" w:hAnsi="Wingdings" w:cs="Wingdings" w:hint="default"/>
      </w:rPr>
    </w:lvl>
    <w:lvl w:ilvl="3">
      <w:start w:val="1"/>
      <w:numFmt w:val="bullet"/>
      <w:lvlText w:val=""/>
      <w:lvlJc w:val="start"/>
      <w:pPr>
        <w:tabs>
          <w:tab w:val="num" w:pos="0"/>
        </w:tabs>
        <w:ind w:start="2100" w:hanging="420"/>
      </w:pPr>
      <w:rPr>
        <w:rFonts w:ascii="Wingdings" w:hAnsi="Wingdings" w:cs="Wingdings" w:hint="default"/>
      </w:rPr>
    </w:lvl>
    <w:lvl w:ilvl="4">
      <w:start w:val="1"/>
      <w:numFmt w:val="bullet"/>
      <w:lvlText w:val=""/>
      <w:lvlJc w:val="start"/>
      <w:pPr>
        <w:tabs>
          <w:tab w:val="num" w:pos="0"/>
        </w:tabs>
        <w:ind w:start="2520" w:hanging="420"/>
      </w:pPr>
      <w:rPr>
        <w:rFonts w:ascii="Wingdings" w:hAnsi="Wingdings" w:cs="Wingdings" w:hint="default"/>
      </w:rPr>
    </w:lvl>
    <w:lvl w:ilvl="5">
      <w:start w:val="1"/>
      <w:numFmt w:val="bullet"/>
      <w:lvlText w:val=""/>
      <w:lvlJc w:val="start"/>
      <w:pPr>
        <w:tabs>
          <w:tab w:val="num" w:pos="0"/>
        </w:tabs>
        <w:ind w:start="2940" w:hanging="420"/>
      </w:pPr>
      <w:rPr>
        <w:rFonts w:ascii="Wingdings" w:hAnsi="Wingdings" w:cs="Wingdings" w:hint="default"/>
      </w:rPr>
    </w:lvl>
    <w:lvl w:ilvl="6">
      <w:start w:val="1"/>
      <w:numFmt w:val="bullet"/>
      <w:lvlText w:val=""/>
      <w:lvlJc w:val="start"/>
      <w:pPr>
        <w:tabs>
          <w:tab w:val="num" w:pos="0"/>
        </w:tabs>
        <w:ind w:start="3360" w:hanging="420"/>
      </w:pPr>
      <w:rPr>
        <w:rFonts w:ascii="Wingdings" w:hAnsi="Wingdings" w:cs="Wingdings" w:hint="default"/>
      </w:rPr>
    </w:lvl>
    <w:lvl w:ilvl="7">
      <w:start w:val="1"/>
      <w:numFmt w:val="bullet"/>
      <w:lvlText w:val=""/>
      <w:lvlJc w:val="start"/>
      <w:pPr>
        <w:tabs>
          <w:tab w:val="num" w:pos="0"/>
        </w:tabs>
        <w:ind w:start="3780" w:hanging="420"/>
      </w:pPr>
      <w:rPr>
        <w:rFonts w:ascii="Wingdings" w:hAnsi="Wingdings" w:cs="Wingdings" w:hint="default"/>
      </w:rPr>
    </w:lvl>
    <w:lvl w:ilvl="8">
      <w:start w:val="1"/>
      <w:numFmt w:val="bullet"/>
      <w:lvlText w:val=""/>
      <w:lvlJc w:val="start"/>
      <w:pPr>
        <w:tabs>
          <w:tab w:val="num" w:pos="0"/>
        </w:tabs>
        <w:ind w:start="4200" w:hanging="420"/>
      </w:pPr>
      <w:rPr>
        <w:rFonts w:ascii="Wingdings" w:hAnsi="Wingdings" w:cs="Wingdings" w:hint="default"/>
      </w:rPr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percent="100"/>
  <w:defaultTabStop w:val="420"/>
  <w:autoHyphenation w:val="true"/>
  <w:compat>
    <w:noLeading/>
    <w:doNotExpandShiftReturn/>
    <w:compatSetting w:name="compatibilityMode" w:uri="http://schemas.microsoft.com/office/word" w:val="14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oto Serif CJK SC" w:cs="Lohit Devanagari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bidi w:val="0"/>
      <w:jc w:val="both"/>
    </w:pPr>
    <w:rPr>
      <w:rFonts w:ascii="Times New Roman" w:hAnsi="Times New Roman" w:eastAsia="宋体" w:cs="Times New Roman"/>
      <w:color w:val="auto"/>
      <w:kern w:val="2"/>
      <w:sz w:val="21"/>
      <w:szCs w:val="24"/>
      <w:lang w:val="en-US" w:eastAsia="zh-CN" w:bidi="ar-SA"/>
    </w:rPr>
  </w:style>
  <w:style w:type="character" w:styleId="WW8Num1z0">
    <w:name w:val="WW8Num1z0"/>
    <w:qFormat/>
    <w:rPr>
      <w:rFonts w:ascii="宋体" w:hAnsi="宋体" w:cs="宋体"/>
      <w:color w:val="FF0000"/>
      <w:kern w:val="0"/>
      <w:sz w:val="28"/>
      <w:szCs w:val="28"/>
    </w:rPr>
  </w:style>
  <w:style w:type="character" w:styleId="WW8Num1z1">
    <w:name w:val="WW8Num1z1"/>
    <w:qFormat/>
    <w:rPr>
      <w:rFonts w:ascii="Wingdings" w:hAnsi="Wingdings" w:cs="Wingdings"/>
      <w:color w:val="000000"/>
      <w:kern w:val="0"/>
      <w:szCs w:val="21"/>
      <w:lang w:eastAsia="zh-CN"/>
    </w:rPr>
  </w:style>
  <w:style w:type="character" w:styleId="WW8Num1z2">
    <w:name w:val="WW8Num1z2"/>
    <w:qFormat/>
    <w:rPr/>
  </w:style>
  <w:style w:type="character" w:styleId="WW8Num1z3">
    <w:name w:val="WW8Num1z3"/>
    <w:qFormat/>
    <w:rPr/>
  </w:style>
  <w:style w:type="character" w:styleId="WW8Num1z4">
    <w:name w:val="WW8Num1z4"/>
    <w:qFormat/>
    <w:rPr/>
  </w:style>
  <w:style w:type="character" w:styleId="WW8Num1z5">
    <w:name w:val="WW8Num1z5"/>
    <w:qFormat/>
    <w:rPr/>
  </w:style>
  <w:style w:type="character" w:styleId="WW8Num1z6">
    <w:name w:val="WW8Num1z6"/>
    <w:qFormat/>
    <w:rPr/>
  </w:style>
  <w:style w:type="character" w:styleId="WW8Num1z7">
    <w:name w:val="WW8Num1z7"/>
    <w:qFormat/>
    <w:rPr/>
  </w:style>
  <w:style w:type="character" w:styleId="WW8Num1z8">
    <w:name w:val="WW8Num1z8"/>
    <w:qFormat/>
    <w:rPr/>
  </w:style>
  <w:style w:type="character" w:styleId="WW8Num2z0">
    <w:name w:val="WW8Num2z0"/>
    <w:qFormat/>
    <w:rPr>
      <w:rFonts w:ascii="Wingdings" w:hAnsi="Wingdings" w:cs="Wingdings"/>
      <w:b w:val="false"/>
      <w:color w:val="000000"/>
      <w:kern w:val="0"/>
      <w:szCs w:val="21"/>
      <w:lang w:val="en-US" w:eastAsia="zh-CN"/>
    </w:rPr>
  </w:style>
  <w:style w:type="character" w:styleId="WW8Num2z1">
    <w:name w:val="WW8Num2z1"/>
    <w:qFormat/>
    <w:rPr>
      <w:rFonts w:ascii="Wingdings" w:hAnsi="Wingdings" w:cs="Wingdings"/>
    </w:rPr>
  </w:style>
  <w:style w:type="character" w:styleId="Style14">
    <w:name w:val="默认段落字体"/>
    <w:qFormat/>
    <w:rPr/>
  </w:style>
  <w:style w:type="character" w:styleId="PageNumber">
    <w:name w:val="Page Number"/>
    <w:basedOn w:val="Style14"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Liberation Sans" w:hAnsi="Liberation Sans" w:eastAsia="Noto Sans CJK SC" w:cs="Lohit Devanagari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ohit Devanagari"/>
    </w:rPr>
  </w:style>
  <w:style w:type="paragraph" w:styleId="HeaderandFooter">
    <w:name w:val="Header and Footer"/>
    <w:basedOn w:val="Normal"/>
    <w:qFormat/>
    <w:pPr>
      <w:suppressLineNumbers/>
      <w:tabs>
        <w:tab w:val="clear" w:pos="420"/>
        <w:tab w:val="center" w:pos="4986" w:leader="none"/>
        <w:tab w:val="right" w:pos="9972" w:leader="none"/>
      </w:tabs>
    </w:pPr>
    <w:rPr/>
  </w:style>
  <w:style w:type="paragraph" w:styleId="Footer">
    <w:name w:val="Footer"/>
    <w:basedOn w:val="Normal"/>
    <w:pPr>
      <w:tabs>
        <w:tab w:val="clear" w:pos="420"/>
        <w:tab w:val="center" w:pos="4153" w:leader="none"/>
        <w:tab w:val="right" w:pos="8306" w:leader="none"/>
      </w:tabs>
      <w:snapToGrid w:val="false"/>
      <w:jc w:val="start"/>
    </w:pPr>
    <w:rPr>
      <w:sz w:val="18"/>
      <w:szCs w:val="18"/>
    </w:rPr>
  </w:style>
  <w:style w:type="paragraph" w:styleId="Header">
    <w:name w:val="Header"/>
    <w:basedOn w:val="Normal"/>
    <w:pPr>
      <w:pBdr>
        <w:bottom w:val="single" w:sz="6" w:space="1" w:color="000000"/>
      </w:pBdr>
      <w:tabs>
        <w:tab w:val="clear" w:pos="420"/>
        <w:tab w:val="center" w:pos="4153" w:leader="none"/>
        <w:tab w:val="right" w:pos="8306" w:leader="none"/>
      </w:tabs>
      <w:snapToGrid w:val="false"/>
      <w:jc w:val="center"/>
    </w:pPr>
    <w:rPr>
      <w:sz w:val="18"/>
      <w:szCs w:val="18"/>
    </w:rPr>
  </w:style>
  <w:style w:type="paragraph" w:styleId="ListParagraph">
    <w:name w:val="List Paragraph"/>
    <w:basedOn w:val="Normal"/>
    <w:qFormat/>
    <w:pPr>
      <w:ind w:firstLine="420"/>
    </w:pPr>
    <w:rPr/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  <w:style w:type="paragraph" w:styleId="FrameContents">
    <w:name w:val="Frame Contents"/>
    <w:basedOn w:val="Normal"/>
    <w:qFormat/>
    <w:pPr/>
    <w:rPr/>
  </w:style>
  <w:style w:type="numbering" w:styleId="WW8Num1">
    <w:name w:val="WW8Num1"/>
    <w:qFormat/>
  </w:style>
  <w:style w:type="numbering" w:styleId="WW8Num2">
    <w:name w:val="WW8Num2"/>
    <w:qFormat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image" Target="media/image2.png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numbering" Target="numbering.xml"/><Relationship Id="rId7" Type="http://schemas.openxmlformats.org/officeDocument/2006/relationships/fontTable" Target="fontTable.xml"/><Relationship Id="rId8" Type="http://schemas.openxmlformats.org/officeDocument/2006/relationships/settings" Target="settings.xml"/>
<Relationship Id="r_odt_hyperlink" Type="http://schemas.openxmlformats.org/officeDocument/2006/relationships/hyperlink" Target="https://www.onlinedoctranslator.com/en/?utm_source=onlinedoctranslator&amp;utm_medium=doc&amp;utm_campaign=attribution" TargetMode="External"/><Relationship Id="r_odt_logo" Type="http://schemas.openxmlformats.org/officeDocument/2006/relationships/image" Target="media/odt_attribution_logo.png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21120</TotalTime>
  <Application>LibreOffice/7.1.4.2$Linux_X86_64 LibreOffice_project/10$Build-2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2010-11-22T02:52:00Z</dcterms:created>
  <dc:creator>杨小欢</dc:creator>
  <dc:description/>
  <dc:language>en-US</dc:language>
  <cp:lastModifiedBy>帝帆锝电锁厂 周生</cp:lastModifiedBy>
  <dcterms:modified xsi:type="dcterms:W3CDTF">2025-04-18T03:21:02Z</dcterms:modified>
  <cp:revision>41</cp:revision>
  <dc:subject/>
  <dc:title>QR/ZXLW 04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8CB6C6B888CC45FA8D1B3C1163568291_13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eyJoZGlkIjoiZGY0ZGUyMDQ1OTU4MDNmN2MxM2ZhNGE3ZWEzOGEyNjciLCJ1c2VySWQiOiIxMTk4NjgyOTY0In0=</vt:lpwstr>
  </property>
  <property fmtid="{D5CDD505-2E9C-101B-9397-08002B2CF9AE}" pid="5" name="commondata">
    <vt:lpwstr>commondata</vt:lpwstr>
  </property>
</Properties>
</file>